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2483" w14:textId="6512D61E" w:rsidR="004557D2" w:rsidRDefault="00787AAF">
      <w:pPr>
        <w:pStyle w:val="Nagwek3"/>
        <w:tabs>
          <w:tab w:val="left" w:pos="426"/>
        </w:tabs>
        <w:spacing w:line="276" w:lineRule="auto"/>
        <w:ind w:left="0"/>
        <w:jc w:val="righ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Chłopy, </w:t>
      </w:r>
      <w:r w:rsidR="00DC1A37">
        <w:rPr>
          <w:rFonts w:asciiTheme="minorHAnsi" w:hAnsiTheme="minorHAnsi" w:cstheme="minorHAnsi"/>
          <w:bCs w:val="0"/>
          <w:sz w:val="22"/>
          <w:szCs w:val="22"/>
        </w:rPr>
        <w:t>1</w:t>
      </w:r>
      <w:r w:rsidR="00017471">
        <w:rPr>
          <w:rFonts w:asciiTheme="minorHAnsi" w:hAnsiTheme="minorHAnsi" w:cstheme="minorHAnsi"/>
          <w:bCs w:val="0"/>
          <w:sz w:val="22"/>
          <w:szCs w:val="22"/>
        </w:rPr>
        <w:t>1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C1A37">
        <w:rPr>
          <w:rFonts w:asciiTheme="minorHAnsi" w:hAnsiTheme="minorHAnsi" w:cstheme="minorHAnsi"/>
          <w:bCs w:val="0"/>
          <w:sz w:val="22"/>
          <w:szCs w:val="22"/>
        </w:rPr>
        <w:t>października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2023 r.</w:t>
      </w:r>
    </w:p>
    <w:p w14:paraId="0E8596A0" w14:textId="77777777" w:rsidR="004557D2" w:rsidRDefault="004557D2">
      <w:pPr>
        <w:pStyle w:val="Nagwek3"/>
        <w:tabs>
          <w:tab w:val="left" w:pos="426"/>
        </w:tabs>
        <w:spacing w:line="276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35F03438" w14:textId="1A73DDF2" w:rsidR="004557D2" w:rsidRDefault="00787AAF">
      <w:pPr>
        <w:pStyle w:val="Nagwek3"/>
        <w:tabs>
          <w:tab w:val="left" w:pos="426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 NR 01/</w:t>
      </w:r>
      <w:r w:rsidR="00DC1A37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/2023/TW</w:t>
      </w:r>
    </w:p>
    <w:p w14:paraId="5B1015BE" w14:textId="77777777" w:rsidR="004557D2" w:rsidRDefault="004557D2">
      <w:pPr>
        <w:pStyle w:val="Tekstpodstawowy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1F0C38" w14:textId="2490ADEF" w:rsidR="004557D2" w:rsidRDefault="00787AAF">
      <w:pPr>
        <w:jc w:val="both"/>
        <w:rPr>
          <w:rFonts w:ascii="Calibri" w:eastAsia="Calibri" w:hAnsi="Calibri" w:cs="Calibri"/>
          <w:lang w:eastAsia="pl-PL"/>
        </w:rPr>
      </w:pPr>
      <w:r>
        <w:rPr>
          <w:rFonts w:asciiTheme="minorHAnsi" w:hAnsiTheme="minorHAnsi" w:cstheme="minorHAnsi"/>
        </w:rPr>
        <w:t xml:space="preserve">dotyczące wyboru </w:t>
      </w:r>
      <w:r>
        <w:rPr>
          <w:rFonts w:ascii="Calibri" w:eastAsia="Calibri" w:hAnsi="Calibri" w:cs="Calibri"/>
          <w:lang w:eastAsia="pl-PL"/>
        </w:rPr>
        <w:t xml:space="preserve">dostawcy </w:t>
      </w:r>
      <w:r w:rsidR="00DC1A37" w:rsidRPr="00DC1A37">
        <w:rPr>
          <w:rFonts w:ascii="Calibri" w:eastAsia="Calibri" w:hAnsi="Calibri" w:cs="Calibri"/>
          <w:b/>
          <w:bCs/>
          <w:lang w:eastAsia="pl-PL"/>
        </w:rPr>
        <w:t>wózka widłowego</w:t>
      </w: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Calibri"/>
          <w:lang w:eastAsia="pl-PL"/>
        </w:rPr>
        <w:t xml:space="preserve">ramach operacji pt: </w:t>
      </w:r>
      <w:r w:rsidR="00DC1A37" w:rsidRPr="00DC1A37">
        <w:rPr>
          <w:rFonts w:asciiTheme="minorHAnsi" w:hAnsiTheme="minorHAnsi" w:cstheme="minorHAnsi"/>
          <w:i/>
          <w:iCs/>
        </w:rPr>
        <w:t>Zakup wózka widłowego oraz belownicy w celu zwiększenia możliwości w zakresie dostawy ryb</w:t>
      </w:r>
      <w:r>
        <w:rPr>
          <w:rFonts w:ascii="Calibri" w:eastAsia="Calibri" w:hAnsi="Calibri" w:cs="Calibri"/>
          <w:i/>
          <w:lang w:eastAsia="pl-PL"/>
        </w:rPr>
        <w:t xml:space="preserve">, </w:t>
      </w:r>
      <w:r>
        <w:rPr>
          <w:rFonts w:ascii="Calibri" w:eastAsia="Calibri" w:hAnsi="Calibri" w:cs="Calibri"/>
          <w:lang w:eastAsia="pl-PL"/>
        </w:rPr>
        <w:t>w zakresie działania „Realizacja lokalnych strategii rozwoju kierowanych przez społeczność" w ramach Priorytetu 4 "Zwiększenie zatrudnienia i spójności terytorialnej”, objętego Programem Operacyjnym "Rybactwo i Morze"</w:t>
      </w:r>
    </w:p>
    <w:p w14:paraId="29246CEE" w14:textId="77777777" w:rsidR="004557D2" w:rsidRDefault="004557D2">
      <w:pPr>
        <w:jc w:val="both"/>
        <w:rPr>
          <w:rFonts w:ascii="Calibri" w:eastAsia="Calibri" w:hAnsi="Calibri" w:cs="Calibri"/>
          <w:lang w:eastAsia="pl-PL"/>
        </w:rPr>
      </w:pPr>
      <w:bookmarkStart w:id="0" w:name="_Hlk17281862"/>
      <w:bookmarkEnd w:id="0"/>
    </w:p>
    <w:p w14:paraId="75739CDB" w14:textId="77777777" w:rsidR="004557D2" w:rsidRDefault="004557D2">
      <w:pPr>
        <w:pStyle w:val="Tekstpodstawowy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5578D0" w14:textId="77777777" w:rsidR="004557D2" w:rsidRDefault="00787AAF">
      <w:pPr>
        <w:pStyle w:val="Akapitzlist"/>
        <w:numPr>
          <w:ilvl w:val="0"/>
          <w:numId w:val="1"/>
        </w:numPr>
        <w:tabs>
          <w:tab w:val="left" w:pos="426"/>
          <w:tab w:val="left" w:pos="499"/>
        </w:tabs>
        <w:spacing w:before="0" w:line="276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Nazwa, adres i dane teleadresowe</w:t>
      </w:r>
      <w:r>
        <w:rPr>
          <w:rFonts w:asciiTheme="minorHAnsi" w:hAnsiTheme="minorHAnsi" w:cstheme="minorHAnsi"/>
          <w:b/>
          <w:spacing w:val="-14"/>
        </w:rPr>
        <w:t xml:space="preserve"> </w:t>
      </w:r>
      <w:r>
        <w:rPr>
          <w:rFonts w:asciiTheme="minorHAnsi" w:hAnsiTheme="minorHAnsi" w:cstheme="minorHAnsi"/>
          <w:b/>
        </w:rPr>
        <w:t>Zamawiającego:</w:t>
      </w:r>
    </w:p>
    <w:p w14:paraId="3D08BC1F" w14:textId="77777777" w:rsidR="004557D2" w:rsidRDefault="00787AAF">
      <w:pPr>
        <w:tabs>
          <w:tab w:val="left" w:pos="42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SEAFOOD Tomasz Włodyka</w:t>
      </w:r>
    </w:p>
    <w:p w14:paraId="1325D525" w14:textId="77777777" w:rsidR="004557D2" w:rsidRDefault="00787AAF">
      <w:pPr>
        <w:tabs>
          <w:tab w:val="left" w:pos="42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ul. Sztormowa 3, Chłopy</w:t>
      </w:r>
    </w:p>
    <w:p w14:paraId="2D6EA4CA" w14:textId="77777777" w:rsidR="004557D2" w:rsidRDefault="00787AAF">
      <w:pPr>
        <w:tabs>
          <w:tab w:val="left" w:pos="426"/>
        </w:tabs>
        <w:rPr>
          <w:rFonts w:asciiTheme="minorHAnsi" w:hAnsiTheme="minorHAnsi" w:cstheme="minorHAnsi"/>
          <w:color w:val="000000"/>
        </w:rPr>
      </w:pPr>
      <w:bookmarkStart w:id="1" w:name="_Hlk42079463"/>
      <w:r>
        <w:rPr>
          <w:rFonts w:asciiTheme="minorHAnsi" w:hAnsiTheme="minorHAnsi" w:cstheme="minorHAnsi"/>
          <w:color w:val="000000"/>
        </w:rPr>
        <w:t>7</w:t>
      </w:r>
      <w:bookmarkEnd w:id="1"/>
      <w:r>
        <w:rPr>
          <w:rFonts w:asciiTheme="minorHAnsi" w:hAnsiTheme="minorHAnsi" w:cstheme="minorHAnsi"/>
          <w:color w:val="000000"/>
        </w:rPr>
        <w:t>6-034 Mielno</w:t>
      </w:r>
    </w:p>
    <w:p w14:paraId="08B4A3A4" w14:textId="77777777" w:rsidR="004557D2" w:rsidRDefault="00787AAF">
      <w:pPr>
        <w:tabs>
          <w:tab w:val="left" w:pos="426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NIP: 499-061-89-70</w:t>
      </w:r>
    </w:p>
    <w:p w14:paraId="14F67E48" w14:textId="77777777" w:rsidR="004557D2" w:rsidRDefault="00787AAF">
      <w:pPr>
        <w:pStyle w:val="Akapitzlist"/>
        <w:numPr>
          <w:ilvl w:val="0"/>
          <w:numId w:val="5"/>
        </w:numPr>
        <w:tabs>
          <w:tab w:val="left" w:pos="426"/>
          <w:tab w:val="left" w:pos="499"/>
        </w:tabs>
        <w:spacing w:before="170" w:after="24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Opis przedmiotu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zamówienia:</w:t>
      </w:r>
    </w:p>
    <w:p w14:paraId="4F57505F" w14:textId="34274EF6" w:rsidR="004557D2" w:rsidRDefault="00787AAF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Przedmiotem zamówienia jest</w:t>
      </w:r>
      <w:r w:rsidR="00DC1A3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dostawa wózka widłowego.</w:t>
      </w:r>
    </w:p>
    <w:p w14:paraId="5ED7B8AF" w14:textId="5C354503" w:rsidR="004557D2" w:rsidRDefault="00787AAF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 xml:space="preserve">Specyfikacja techniczna </w:t>
      </w:r>
      <w:r w:rsidR="00DC1A37"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wózka widłowego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pl-PL"/>
        </w:rPr>
        <w:t>:</w:t>
      </w:r>
    </w:p>
    <w:p w14:paraId="2806E1C9" w14:textId="0C5C3CF0" w:rsidR="004557D2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napęd elektryczny</w:t>
      </w:r>
    </w:p>
    <w:p w14:paraId="69BF6FC6" w14:textId="23F056F0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udźwig nominalny min. 1600 kg</w:t>
      </w:r>
    </w:p>
    <w:p w14:paraId="0B211B4E" w14:textId="4A8A4EBF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- wysokość podnoszenia </w:t>
      </w:r>
      <w:r w:rsidR="00017471">
        <w:rPr>
          <w:rFonts w:asciiTheme="minorHAnsi" w:eastAsia="Calibri" w:hAnsiTheme="minorHAnsi" w:cstheme="minorHAnsi"/>
          <w:sz w:val="22"/>
          <w:szCs w:val="22"/>
          <w:lang w:eastAsia="pl-PL"/>
        </w:rPr>
        <w:t>od 6010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mm</w:t>
      </w:r>
      <w:r w:rsidR="000174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do 6090</w:t>
      </w:r>
    </w:p>
    <w:p w14:paraId="2124CD3D" w14:textId="77777777" w:rsidR="00017471" w:rsidRPr="00017471" w:rsidRDefault="00017471" w:rsidP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wysokość w stanie złożonym od 2520 mm do 2600 mm</w:t>
      </w:r>
    </w:p>
    <w:p w14:paraId="1BE26DDC" w14:textId="77777777" w:rsidR="00017471" w:rsidRPr="00017471" w:rsidRDefault="00017471" w:rsidP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wolny skok wideł od 2000 do 2060 mm</w:t>
      </w:r>
    </w:p>
    <w:p w14:paraId="78717166" w14:textId="589D5C73" w:rsidR="00017471" w:rsidRDefault="00017471" w:rsidP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szerokość wózka od 780 do 800 mm</w:t>
      </w:r>
    </w:p>
    <w:p w14:paraId="441861B5" w14:textId="6F7E9C9D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prędkość jazdy z/bez ładunku min. 6 km/h</w:t>
      </w:r>
    </w:p>
    <w:p w14:paraId="05082771" w14:textId="06D7E792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prędkość podnoszenia z/bez ładunku min. 0,13/0,26 m/s</w:t>
      </w:r>
    </w:p>
    <w:p w14:paraId="34E61194" w14:textId="71D26354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widły 1150 mm / 570 mm / 55 mm, zintegrowane z karetką</w:t>
      </w:r>
    </w:p>
    <w:p w14:paraId="4CC26BD1" w14:textId="6293BCA2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hamulec elektromagnetyczny</w:t>
      </w:r>
    </w:p>
    <w:p w14:paraId="3625F45D" w14:textId="29528B60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moc silnika min. 2,5 kW</w:t>
      </w:r>
    </w:p>
    <w:p w14:paraId="513355DD" w14:textId="4AC21EF0" w:rsidR="00017471" w:rsidRDefault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wersja chłodnicza min -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30 stopni</w:t>
      </w:r>
    </w:p>
    <w:p w14:paraId="158E76BA" w14:textId="5A79117A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elektryczne wspomaganie dyszla kierowniczego</w:t>
      </w:r>
    </w:p>
    <w:p w14:paraId="1D2ED270" w14:textId="2C4BFA43" w:rsidR="00017471" w:rsidRDefault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platformę roboczą operatora i składane boczne bramki</w:t>
      </w:r>
    </w:p>
    <w:p w14:paraId="30D5695E" w14:textId="0D198D63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system zmniejszania hałasu i wibracji masztu</w:t>
      </w:r>
    </w:p>
    <w:p w14:paraId="6446D317" w14:textId="234DEB3E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wyświetlacz informacyjny ze statusem parametrów wózka</w:t>
      </w:r>
    </w:p>
    <w:p w14:paraId="4B8FA1F8" w14:textId="4AC10FE2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wyłącznik awaryjny umożliwiający błyskawiczne odcięcie zasilania wózka</w:t>
      </w:r>
    </w:p>
    <w:p w14:paraId="3A0BFBB3" w14:textId="79A1A858" w:rsidR="00017471" w:rsidRDefault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017471">
        <w:rPr>
          <w:rFonts w:asciiTheme="minorHAnsi" w:eastAsia="Calibri" w:hAnsiTheme="minorHAnsi" w:cstheme="minorHAnsi"/>
          <w:sz w:val="22"/>
          <w:szCs w:val="22"/>
          <w:lang w:eastAsia="pl-PL"/>
        </w:rPr>
        <w:t>- wyposażenie w baterię kwasową min 375Ah i prostownik min 50A</w:t>
      </w:r>
    </w:p>
    <w:p w14:paraId="2890729D" w14:textId="77777777" w:rsidR="00DC1A37" w:rsidRDefault="00DC1A37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05307E64" w14:textId="77777777" w:rsidR="00017471" w:rsidRDefault="00017471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7249C0D3" w14:textId="77777777" w:rsidR="00EF67BE" w:rsidRPr="00EF67BE" w:rsidRDefault="00EF67BE" w:rsidP="00EF67BE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EF67BE">
        <w:rPr>
          <w:rFonts w:asciiTheme="minorHAnsi" w:eastAsia="Calibri" w:hAnsiTheme="minorHAnsi" w:cstheme="minorHAnsi"/>
          <w:sz w:val="22"/>
          <w:szCs w:val="22"/>
          <w:lang w:eastAsia="pl-PL"/>
        </w:rPr>
        <w:t>Realizacja zamówienia obejmuje:</w:t>
      </w:r>
    </w:p>
    <w:p w14:paraId="12774E39" w14:textId="77777777" w:rsidR="00EF67BE" w:rsidRPr="00EF67BE" w:rsidRDefault="00EF67BE" w:rsidP="00EF67BE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EF67BE">
        <w:rPr>
          <w:rFonts w:asciiTheme="minorHAnsi" w:eastAsia="Calibri" w:hAnsiTheme="minorHAnsi" w:cstheme="minorHAnsi"/>
          <w:sz w:val="22"/>
          <w:szCs w:val="22"/>
          <w:lang w:eastAsia="pl-PL"/>
        </w:rPr>
        <w:t>- dostawę, rozładunek, instalację, uruchomienie urządzenia,</w:t>
      </w:r>
    </w:p>
    <w:p w14:paraId="720ED07E" w14:textId="0600A605" w:rsidR="00EF67BE" w:rsidRDefault="00EF67BE" w:rsidP="00EF67BE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EF67BE">
        <w:rPr>
          <w:rFonts w:asciiTheme="minorHAnsi" w:eastAsia="Calibri" w:hAnsiTheme="minorHAnsi" w:cstheme="minorHAnsi"/>
          <w:sz w:val="22"/>
          <w:szCs w:val="22"/>
          <w:lang w:eastAsia="pl-PL"/>
        </w:rPr>
        <w:t>- bezpłatne przeszkolenie personelu,</w:t>
      </w:r>
    </w:p>
    <w:p w14:paraId="79370AC0" w14:textId="77777777" w:rsidR="00EF67BE" w:rsidRDefault="00EF67BE" w:rsidP="00EF67BE">
      <w:pPr>
        <w:pStyle w:val="Tekstpodstawowy"/>
        <w:tabs>
          <w:tab w:val="left" w:pos="426"/>
        </w:tabs>
        <w:spacing w:after="6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44EB8F53" w14:textId="77777777" w:rsidR="00DC1A37" w:rsidRDefault="00787AAF" w:rsidP="00DC1A37">
      <w:pPr>
        <w:pStyle w:val="Tekstpodstawowy"/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KOD CPV: </w:t>
      </w:r>
    </w:p>
    <w:p w14:paraId="35ED8658" w14:textId="216543ED" w:rsidR="004557D2" w:rsidRDefault="00DC1A37" w:rsidP="00DC1A37">
      <w:pPr>
        <w:pStyle w:val="Tekstpodstawowy"/>
        <w:tabs>
          <w:tab w:val="left" w:pos="426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C1A37">
        <w:rPr>
          <w:rFonts w:asciiTheme="minorHAnsi" w:hAnsiTheme="minorHAnsi" w:cstheme="minorHAnsi"/>
          <w:sz w:val="22"/>
          <w:szCs w:val="22"/>
        </w:rPr>
        <w:t>42415110-2 – Wózki widłowe</w:t>
      </w:r>
    </w:p>
    <w:p w14:paraId="7447A91E" w14:textId="77777777" w:rsidR="004557D2" w:rsidRDefault="004557D2" w:rsidP="00EF67BE">
      <w:pPr>
        <w:pStyle w:val="Tekstpodstawowy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2FEB37" w14:textId="77777777" w:rsidR="004557D2" w:rsidRDefault="00787AAF" w:rsidP="00EF67BE">
      <w:pPr>
        <w:pStyle w:val="Tekstpodstawowy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wyjaśnia, że tam, gdzie w zapytaniu ofertowym zostało wskazane pochodzenie (marka, znak towarowy, producent, dostawca itp.) materiałów lub normy, aprobaty, specyfikacje i systemy, o których mowa w Ustawie Prawo zamówień publicznych, Zamawiający dopuszcza oferowanie materiałów lub rozwiązań równoważnych pod warunkiem, że zapewnią uzyskanie parametrów technicznych i funkcji nie gorszych od założonych.</w:t>
      </w:r>
    </w:p>
    <w:p w14:paraId="0132456B" w14:textId="77777777" w:rsidR="00EF67BE" w:rsidRDefault="00EF67BE" w:rsidP="00EF67BE">
      <w:pPr>
        <w:pStyle w:val="Tekstpodstawowy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5F9EFB" w14:textId="77777777" w:rsidR="004557D2" w:rsidRDefault="00787AAF">
      <w:pPr>
        <w:pStyle w:val="Akapitzlist"/>
        <w:numPr>
          <w:ilvl w:val="0"/>
          <w:numId w:val="5"/>
        </w:numPr>
        <w:tabs>
          <w:tab w:val="left" w:pos="426"/>
          <w:tab w:val="left" w:pos="499"/>
        </w:tabs>
        <w:spacing w:before="1" w:line="276" w:lineRule="auto"/>
        <w:ind w:right="2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udziału w postępowaniu oraz opis sposobu dokonywania oceny ich spełniania</w:t>
      </w:r>
    </w:p>
    <w:p w14:paraId="5062E2B7" w14:textId="77777777" w:rsidR="004557D2" w:rsidRDefault="00787AAF">
      <w:pPr>
        <w:pStyle w:val="Tekstpodstawowy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zamówienie mogą ubiegać się dostawcy, którzy spełnią następujące warunki:</w:t>
      </w:r>
    </w:p>
    <w:p w14:paraId="7CA07705" w14:textId="77777777" w:rsidR="004557D2" w:rsidRDefault="00787AA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Wykonawca/Dostawca posiada potencjał ekonomiczny i finansowy zapewniający wykonanie przedmiotu zamówienia we wskazanym terminie – powyższe będzie weryfikowane na podstawie oświadczenia zawartego w formularzu ofertowym, stanowiącym załącznik nr 1 do niniejszego zapytania,</w:t>
      </w:r>
    </w:p>
    <w:p w14:paraId="3302F447" w14:textId="77777777" w:rsidR="004557D2" w:rsidRDefault="00787AAF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Wykonawca/Dostawca </w:t>
      </w:r>
      <w:bookmarkStart w:id="2" w:name="_Hlk43214812"/>
      <w:r>
        <w:rPr>
          <w:rFonts w:asciiTheme="minorHAnsi" w:hAnsiTheme="minorHAnsi" w:cstheme="minorHAnsi"/>
          <w:sz w:val="22"/>
          <w:szCs w:val="22"/>
        </w:rPr>
        <w:t>dysponuje potencjałem technicznym do wykonania przedmiotu zamówienia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– powyższe będzie weryfikowane na podstawie oświadczenia zawartego w formularzu ofertowym, stanowiącym załącznik nr 1 do niniejszego zapytania.</w:t>
      </w:r>
    </w:p>
    <w:p w14:paraId="13620C35" w14:textId="77777777" w:rsidR="004557D2" w:rsidRDefault="004557D2">
      <w:pPr>
        <w:pStyle w:val="Tekstpodstawowy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7AFA83" w14:textId="77777777" w:rsidR="004557D2" w:rsidRDefault="00787AAF">
      <w:pPr>
        <w:pStyle w:val="Akapitzlist"/>
        <w:numPr>
          <w:ilvl w:val="0"/>
          <w:numId w:val="5"/>
        </w:numPr>
        <w:tabs>
          <w:tab w:val="left" w:pos="426"/>
        </w:tabs>
        <w:spacing w:before="0" w:after="240" w:line="276" w:lineRule="auto"/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kryteriach oceny oraz wagach punktowych lub procentowych przypisanych do poszczególnych kryteriów oceny</w:t>
      </w:r>
      <w:r>
        <w:rPr>
          <w:rFonts w:asciiTheme="minorHAnsi" w:hAnsiTheme="minorHAnsi" w:cstheme="minorHAnsi"/>
          <w:b/>
          <w:spacing w:val="-15"/>
        </w:rPr>
        <w:t xml:space="preserve"> </w:t>
      </w:r>
      <w:r>
        <w:rPr>
          <w:rFonts w:asciiTheme="minorHAnsi" w:hAnsiTheme="minorHAnsi" w:cstheme="minorHAnsi"/>
          <w:b/>
        </w:rPr>
        <w:t>oferty; opis sposobu przyznawania punktacji za spełnienie danego kryterium oceny</w:t>
      </w:r>
      <w:r>
        <w:rPr>
          <w:rFonts w:asciiTheme="minorHAnsi" w:hAnsiTheme="minorHAnsi" w:cstheme="minorHAnsi"/>
          <w:b/>
          <w:spacing w:val="-24"/>
        </w:rPr>
        <w:t xml:space="preserve"> </w:t>
      </w:r>
      <w:r>
        <w:rPr>
          <w:rFonts w:asciiTheme="minorHAnsi" w:hAnsiTheme="minorHAnsi" w:cstheme="minorHAnsi"/>
          <w:b/>
        </w:rPr>
        <w:t>oferty.</w:t>
      </w:r>
    </w:p>
    <w:p w14:paraId="0FE94258" w14:textId="77777777" w:rsidR="004557D2" w:rsidRDefault="00787AAF">
      <w:pPr>
        <w:pStyle w:val="Akapitzlist"/>
        <w:numPr>
          <w:ilvl w:val="0"/>
          <w:numId w:val="6"/>
        </w:numPr>
        <w:tabs>
          <w:tab w:val="left" w:pos="360"/>
          <w:tab w:val="left" w:pos="426"/>
        </w:tabs>
        <w:spacing w:before="17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Cena całkowita brutto – waga 100% (100 pkt)</w:t>
      </w:r>
    </w:p>
    <w:p w14:paraId="02A2D9C7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przyznawania punktacji:</w:t>
      </w:r>
    </w:p>
    <w:p w14:paraId="3C89566C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 = Cmin/Cn*100 pkt</w:t>
      </w:r>
    </w:p>
    <w:p w14:paraId="7BC550BD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Gdzie:</w:t>
      </w:r>
    </w:p>
    <w:p w14:paraId="5BB75BE5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Cmin– najniższa cena całkowita brutto ze wszystkich cen zaproponowanych przez oferentów</w:t>
      </w:r>
    </w:p>
    <w:p w14:paraId="244D3623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Cn – cena całkowita brutto oferty nr „n”</w:t>
      </w:r>
    </w:p>
    <w:p w14:paraId="41229D4E" w14:textId="77777777" w:rsidR="004557D2" w:rsidRDefault="004557D2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</w:p>
    <w:p w14:paraId="67F982D7" w14:textId="77777777" w:rsidR="004557D2" w:rsidRDefault="00787AAF">
      <w:pPr>
        <w:tabs>
          <w:tab w:val="left" w:pos="360"/>
          <w:tab w:val="left" w:pos="426"/>
        </w:tabs>
        <w:spacing w:before="17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podana w walucie obcej będzie przeliczona według średniego kursu NBP z ostatniego dnia terminu składania ofert. </w:t>
      </w:r>
    </w:p>
    <w:p w14:paraId="6A1D5336" w14:textId="77777777" w:rsidR="004557D2" w:rsidRDefault="00787AAF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Wyniki działań matematycznych dokonywanych przy ocenie badania ofert podlegają zaokrągleniu do drugiego miejsca po przecinku.</w:t>
      </w:r>
    </w:p>
    <w:p w14:paraId="020E280C" w14:textId="77777777" w:rsidR="004557D2" w:rsidRDefault="004557D2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</w:p>
    <w:p w14:paraId="7422F746" w14:textId="2EC5DD07" w:rsidR="004557D2" w:rsidRDefault="00EF67BE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dopuszcza się składania ofert częściowych. </w:t>
      </w:r>
      <w:r w:rsidR="00787AAF">
        <w:rPr>
          <w:rFonts w:asciiTheme="minorHAnsi" w:hAnsiTheme="minorHAnsi" w:cstheme="minorHAnsi"/>
        </w:rPr>
        <w:t>Za najkorzystniejszą zostanie uznana ofer</w:t>
      </w:r>
      <w:r>
        <w:rPr>
          <w:rFonts w:asciiTheme="minorHAnsi" w:hAnsiTheme="minorHAnsi" w:cstheme="minorHAnsi"/>
        </w:rPr>
        <w:t>ta</w:t>
      </w:r>
      <w:r w:rsidR="00787AAF">
        <w:rPr>
          <w:rFonts w:asciiTheme="minorHAnsi" w:hAnsiTheme="minorHAnsi" w:cstheme="minorHAnsi"/>
        </w:rPr>
        <w:t>, która uzyska najwyższą liczbę punktów.</w:t>
      </w:r>
    </w:p>
    <w:p w14:paraId="7C752AFE" w14:textId="77777777" w:rsidR="004557D2" w:rsidRDefault="004557D2">
      <w:pPr>
        <w:pStyle w:val="Akapitzlist"/>
        <w:tabs>
          <w:tab w:val="left" w:pos="360"/>
          <w:tab w:val="left" w:pos="426"/>
        </w:tabs>
        <w:spacing w:before="17" w:line="276" w:lineRule="auto"/>
        <w:ind w:left="0" w:firstLine="0"/>
        <w:rPr>
          <w:rFonts w:asciiTheme="minorHAnsi" w:hAnsiTheme="minorHAnsi" w:cstheme="minorHAnsi"/>
        </w:rPr>
      </w:pPr>
    </w:p>
    <w:p w14:paraId="35FF5F11" w14:textId="77777777" w:rsidR="004557D2" w:rsidRDefault="00787AAF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Termin, sposób oraz miejsce składania ofert.</w:t>
      </w:r>
    </w:p>
    <w:p w14:paraId="20EECE58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należy złożyć osobiście, za pośrednictwem poczty, poczty elektronicznej lub za pośrednictwem kuriera na adres Zamawiającego podany w pkt. 1 Zapytania ofertowego lub w formie elektronicznej w postaci skanu na adres</w:t>
      </w:r>
      <w:r>
        <w:t xml:space="preserve"> </w:t>
      </w:r>
      <w:r>
        <w:rPr>
          <w:rFonts w:asciiTheme="minorHAnsi" w:hAnsiTheme="minorHAnsi" w:cstheme="minorHAnsi"/>
        </w:rPr>
        <w:t>ryba.wlodya@gmail.com.</w:t>
      </w:r>
    </w:p>
    <w:p w14:paraId="046EBE2B" w14:textId="4A36EB85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składania ofert upływa </w:t>
      </w:r>
      <w:r w:rsidR="00EF67BE">
        <w:rPr>
          <w:rFonts w:asciiTheme="minorHAnsi" w:hAnsiTheme="minorHAnsi" w:cstheme="minorHAnsi"/>
          <w:b/>
          <w:bCs/>
          <w:u w:val="single"/>
        </w:rPr>
        <w:t>1</w:t>
      </w:r>
      <w:r w:rsidR="00F13AAC">
        <w:rPr>
          <w:rFonts w:asciiTheme="minorHAnsi" w:hAnsiTheme="minorHAnsi" w:cstheme="minorHAnsi"/>
          <w:b/>
          <w:bCs/>
          <w:u w:val="single"/>
        </w:rPr>
        <w:t>8</w:t>
      </w:r>
      <w:r>
        <w:rPr>
          <w:rFonts w:asciiTheme="minorHAnsi" w:hAnsiTheme="minorHAnsi" w:cstheme="minorHAnsi"/>
          <w:b/>
          <w:bCs/>
          <w:u w:val="single"/>
        </w:rPr>
        <w:t>.</w:t>
      </w:r>
      <w:r w:rsidR="00EF67BE">
        <w:rPr>
          <w:rFonts w:asciiTheme="minorHAnsi" w:hAnsiTheme="minorHAnsi" w:cstheme="minorHAnsi"/>
          <w:b/>
          <w:bCs/>
          <w:u w:val="single"/>
        </w:rPr>
        <w:t>10</w:t>
      </w:r>
      <w:r>
        <w:rPr>
          <w:rFonts w:asciiTheme="minorHAnsi" w:hAnsiTheme="minorHAnsi" w:cstheme="minorHAnsi"/>
          <w:b/>
          <w:bCs/>
          <w:u w:val="single"/>
        </w:rPr>
        <w:t>.2023 r.</w:t>
      </w:r>
      <w:r>
        <w:rPr>
          <w:rFonts w:asciiTheme="minorHAnsi" w:hAnsiTheme="minorHAnsi" w:cstheme="minorHAnsi"/>
        </w:rPr>
        <w:t xml:space="preserve"> W każdym przypadku liczy się data wpływu oferty do Zamawiającego. Oferty złożone po terminie nie będą rozpatrywane.</w:t>
      </w:r>
    </w:p>
    <w:p w14:paraId="278233F1" w14:textId="77777777" w:rsidR="004557D2" w:rsidRDefault="00787AAF">
      <w:pPr>
        <w:pStyle w:val="Akapitzlist"/>
        <w:widowControl/>
        <w:numPr>
          <w:ilvl w:val="3"/>
          <w:numId w:val="7"/>
        </w:numPr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Oferta powinna zostać złożona w formie pisemnej na formularzu oferty, stanowiącym załącznik</w:t>
      </w:r>
      <w:r>
        <w:rPr>
          <w:rFonts w:asciiTheme="minorHAnsi" w:hAnsiTheme="minorHAnsi" w:cstheme="minorHAnsi"/>
        </w:rPr>
        <w:br/>
        <w:t>nr 1 zapytania.</w:t>
      </w:r>
    </w:p>
    <w:p w14:paraId="490F607E" w14:textId="77777777" w:rsidR="004557D2" w:rsidRDefault="00787AAF">
      <w:pPr>
        <w:pStyle w:val="Akapitzlist"/>
        <w:widowControl/>
        <w:numPr>
          <w:ilvl w:val="3"/>
          <w:numId w:val="7"/>
        </w:numPr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powinna być opatrzona pieczęcią firmową (jeśli podmiot posiada pieczęć), zawierać datę sporządzenia, zawierać adres Oferenta, NIP Oferenta (lub równoważny nr obowiązujący w kraju, </w:t>
      </w:r>
      <w:r>
        <w:rPr>
          <w:rFonts w:asciiTheme="minorHAnsi" w:hAnsiTheme="minorHAnsi" w:cstheme="minorHAnsi"/>
        </w:rPr>
        <w:br/>
        <w:t>w którym podmiot jest zarejestrowany), zawierać niezbędne załączniki.</w:t>
      </w:r>
    </w:p>
    <w:p w14:paraId="6DF5A799" w14:textId="77777777" w:rsidR="004557D2" w:rsidRPr="00EF67BE" w:rsidRDefault="00787AAF">
      <w:pPr>
        <w:pStyle w:val="Akapitzlist"/>
        <w:widowControl/>
        <w:numPr>
          <w:ilvl w:val="3"/>
          <w:numId w:val="7"/>
        </w:numPr>
        <w:spacing w:line="276" w:lineRule="auto"/>
        <w:ind w:left="426" w:hanging="426"/>
        <w:contextualSpacing/>
        <w:rPr>
          <w:rFonts w:asciiTheme="minorHAnsi" w:hAnsiTheme="minorHAnsi" w:cstheme="minorHAnsi"/>
          <w:u w:val="single"/>
        </w:rPr>
      </w:pPr>
      <w:r w:rsidRPr="00EF67BE">
        <w:rPr>
          <w:rFonts w:asciiTheme="minorHAnsi" w:hAnsiTheme="minorHAnsi" w:cstheme="minorHAnsi"/>
          <w:u w:val="single"/>
        </w:rPr>
        <w:t xml:space="preserve">Oferta wraz ze wszystkimi załącznikami powinna być podpisana przez osobę/osoby upoważnione do reprezentowania Wykonawcy. Jeżeli upoważnienie nie wynika z dokumentów rejestrowych, Wykonawca zobowiązany jest dołączyć do oferty stosowne pełnomocnictwo. </w:t>
      </w:r>
    </w:p>
    <w:p w14:paraId="042B9305" w14:textId="055831AB" w:rsidR="004557D2" w:rsidRDefault="00EF67BE">
      <w:pPr>
        <w:pStyle w:val="Akapitzlist"/>
        <w:widowControl/>
        <w:numPr>
          <w:ilvl w:val="3"/>
          <w:numId w:val="7"/>
        </w:numPr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</w:t>
      </w:r>
      <w:r w:rsidR="00787AAF">
        <w:rPr>
          <w:rFonts w:asciiTheme="minorHAnsi" w:hAnsiTheme="minorHAnsi" w:cstheme="minorHAnsi"/>
        </w:rPr>
        <w:t>opuszcza się składania ofert częściowych.</w:t>
      </w:r>
    </w:p>
    <w:p w14:paraId="16B3D2CD" w14:textId="77777777" w:rsidR="004557D2" w:rsidRDefault="00787AAF">
      <w:pPr>
        <w:pStyle w:val="Akapitzlist"/>
        <w:widowControl/>
        <w:numPr>
          <w:ilvl w:val="3"/>
          <w:numId w:val="7"/>
        </w:numPr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dopuszcza się składania ofert wariantowych. </w:t>
      </w:r>
    </w:p>
    <w:p w14:paraId="0BAACDDB" w14:textId="2714D3EB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związania ofertą upływa po </w:t>
      </w:r>
      <w:r w:rsidR="00EF67BE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dniach licząc od terminu składania ofert.</w:t>
      </w:r>
    </w:p>
    <w:p w14:paraId="32A7F3B2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przed terminem składania ofert zmienić, uzupełnić lub wycofać swoją ofertę.</w:t>
      </w:r>
    </w:p>
    <w:p w14:paraId="703CC2C9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toku badania i oceny ofert Zamawiający może żądać od oferentów wyjaśnień, uzupełnień dotyczących treści złożonych ofert.</w:t>
      </w:r>
    </w:p>
    <w:p w14:paraId="66099207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zostanie odrzucona w następujących przypadkach:</w:t>
      </w:r>
    </w:p>
    <w:p w14:paraId="1833FDDF" w14:textId="77777777" w:rsidR="004557D2" w:rsidRDefault="00787AAF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before="19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jej treść nie odpowiada treści zapytania ofertowego,</w:t>
      </w:r>
    </w:p>
    <w:p w14:paraId="1D9F19FF" w14:textId="77777777" w:rsidR="004557D2" w:rsidRDefault="00787AAF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before="19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została złożona przez podmiot niespełniający warunków udziału w postępowaniu ofertowym,</w:t>
      </w:r>
    </w:p>
    <w:p w14:paraId="7BB51823" w14:textId="77777777" w:rsidR="004557D2" w:rsidRDefault="00787AAF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before="19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została złożona przez podmiot powiązany kapitałowo lub osobowo z Zamawiającym</w:t>
      </w:r>
    </w:p>
    <w:p w14:paraId="6D6BE202" w14:textId="77777777" w:rsidR="004557D2" w:rsidRDefault="00787AAF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before="19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została złożona po terminie składania ofert określonym w zapytaniu ofertowym. </w:t>
      </w:r>
    </w:p>
    <w:p w14:paraId="5ECA6B20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uzasadnionych przypadkach Zamawiający może przed upływem terminu składania ofert zmodyfikować treść zapytania ofertowego. Jeżeli zmiany będą miały wpływ na treść ofert składanych w toku postępowania, Zamawiający przedłuży termin składania ofert. Wszelkie modyfikacje, uzupełnienia i ustalenia oraz zmiany, w tym zmiany terminów stają się integralną częścią zapytania ofertowego i będą wiążące przy składaniu ofert. Wszelkie prawa i zobowiązania Zamawiającego oraz Wykonawcy odnośnie wcześniej ustalonych terminów będą podlegały nowemu terminowi. W takim przypadku każdy z oferentów będzie miał prawo do nowelizacji już złożonej oferty i zostanie o tym fakcie poinformowany. Nie dotyczy to nieistotnych korekt w treści zapytania ofertowego.</w:t>
      </w:r>
    </w:p>
    <w:p w14:paraId="167C82F8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możliwość unieważnienia postępowania w przypadku, gdyby cena najkorzystniejszej oferty przekraczała kwotę, jaką Zamawiający zamierza przeznaczyć na zamówienie.</w:t>
      </w:r>
    </w:p>
    <w:p w14:paraId="41B91D7D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dopuszcza możliwość unieważnienia postępowania w przypadku, gdy postępowanie jest obarczone wadą niemożliwą do usunięcia, która zarazem uniemożliwia zawarcie niepodlegającej unieważnieniu umowy.</w:t>
      </w:r>
    </w:p>
    <w:p w14:paraId="75AD237E" w14:textId="77777777" w:rsidR="004557D2" w:rsidRDefault="00787AAF">
      <w:pPr>
        <w:pStyle w:val="Akapitzlist"/>
        <w:numPr>
          <w:ilvl w:val="3"/>
          <w:numId w:val="7"/>
        </w:numPr>
        <w:tabs>
          <w:tab w:val="left" w:pos="360"/>
          <w:tab w:val="left" w:pos="426"/>
        </w:tabs>
        <w:spacing w:before="19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unieważni postępowanie w przypadku braku złożenia co najmniej dwóch ofert zgodnych z zapytaniem ofertowym. </w:t>
      </w:r>
    </w:p>
    <w:p w14:paraId="0E3785DF" w14:textId="77777777" w:rsidR="004557D2" w:rsidRDefault="004557D2">
      <w:pPr>
        <w:tabs>
          <w:tab w:val="left" w:pos="360"/>
          <w:tab w:val="left" w:pos="426"/>
        </w:tabs>
        <w:spacing w:before="19" w:line="276" w:lineRule="auto"/>
        <w:jc w:val="both"/>
        <w:rPr>
          <w:rFonts w:asciiTheme="minorHAnsi" w:hAnsiTheme="minorHAnsi" w:cstheme="minorHAnsi"/>
        </w:rPr>
      </w:pPr>
    </w:p>
    <w:p w14:paraId="03178179" w14:textId="77777777" w:rsidR="004557D2" w:rsidRDefault="00787AAF">
      <w:pPr>
        <w:pStyle w:val="Akapitzlist"/>
        <w:numPr>
          <w:ilvl w:val="0"/>
          <w:numId w:val="5"/>
        </w:numPr>
        <w:tabs>
          <w:tab w:val="left" w:pos="360"/>
          <w:tab w:val="left" w:pos="426"/>
        </w:tabs>
        <w:spacing w:before="19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realizacji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umowy.</w:t>
      </w:r>
    </w:p>
    <w:p w14:paraId="37CEC10B" w14:textId="008035A5" w:rsidR="004557D2" w:rsidRDefault="00787AAF">
      <w:pPr>
        <w:pStyle w:val="Tekstpodstawowy"/>
        <w:tabs>
          <w:tab w:val="left" w:pos="426"/>
        </w:tabs>
        <w:spacing w:before="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powinien być wykonany w terminie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maksymalnie do </w:t>
      </w:r>
      <w:r w:rsidR="00EF67BE">
        <w:rPr>
          <w:rFonts w:asciiTheme="minorHAnsi" w:hAnsiTheme="minorHAnsi" w:cstheme="minorHAnsi"/>
          <w:sz w:val="22"/>
          <w:szCs w:val="22"/>
          <w:u w:val="single"/>
        </w:rPr>
        <w:t>31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F67BE">
        <w:rPr>
          <w:rFonts w:asciiTheme="minorHAnsi" w:hAnsiTheme="minorHAnsi" w:cstheme="minorHAnsi"/>
          <w:sz w:val="22"/>
          <w:szCs w:val="22"/>
          <w:u w:val="single"/>
        </w:rPr>
        <w:t>grudnia 2023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0A4C8" w14:textId="77777777" w:rsidR="004557D2" w:rsidRDefault="004557D2">
      <w:pPr>
        <w:pStyle w:val="Tekstpodstawowy"/>
        <w:tabs>
          <w:tab w:val="left" w:pos="426"/>
        </w:tabs>
        <w:spacing w:before="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4E58B6" w14:textId="77777777" w:rsidR="004557D2" w:rsidRDefault="00787AA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na temat zakresu wykluczenia.</w:t>
      </w:r>
    </w:p>
    <w:p w14:paraId="34ADFF9B" w14:textId="77777777" w:rsidR="004557D2" w:rsidRDefault="00787AAF">
      <w:pPr>
        <w:pStyle w:val="Akapitzlist"/>
        <w:tabs>
          <w:tab w:val="left" w:pos="426"/>
        </w:tabs>
        <w:spacing w:after="16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udziału w postępowaniu wykluczone są podmioty powiązane osobowo lub kapitałowo z </w:t>
      </w:r>
      <w:r>
        <w:rPr>
          <w:rFonts w:asciiTheme="minorHAnsi" w:hAnsiTheme="minorHAnsi" w:cstheme="minorHAnsi"/>
        </w:rPr>
        <w:lastRenderedPageBreak/>
        <w:t>Zamawiającym.</w:t>
      </w:r>
    </w:p>
    <w:p w14:paraId="1233ADB6" w14:textId="77777777" w:rsidR="004557D2" w:rsidRDefault="00787AAF">
      <w:pPr>
        <w:pStyle w:val="Standard"/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9BCEC5" w14:textId="77777777" w:rsidR="004557D2" w:rsidRDefault="00787AAF">
      <w:pPr>
        <w:pStyle w:val="Akapitzlist"/>
        <w:widowControl/>
        <w:numPr>
          <w:ilvl w:val="0"/>
          <w:numId w:val="3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uczestniczeniu w spółce jako wspólnik spółki cywilnej lub spółki osobowej;</w:t>
      </w:r>
    </w:p>
    <w:p w14:paraId="6B58497C" w14:textId="77777777" w:rsidR="004557D2" w:rsidRDefault="00787AAF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iCs/>
          <w:color w:val="00000A"/>
        </w:rPr>
      </w:pPr>
      <w:r>
        <w:rPr>
          <w:rFonts w:asciiTheme="minorHAnsi" w:hAnsiTheme="minorHAnsi" w:cstheme="minorHAnsi"/>
          <w:iCs/>
          <w:color w:val="00000A"/>
        </w:rPr>
        <w:t>posiadaniu co najmniej 10% udziałów lub akcji w kapitale innego podmiotu;</w:t>
      </w:r>
    </w:p>
    <w:p w14:paraId="350805CB" w14:textId="77777777" w:rsidR="004557D2" w:rsidRDefault="00787AAF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pełnieniu funkcji członka organu nadzorczego, kontrolnego lub zarządzającego, prokurenta, pełnomocnika;</w:t>
      </w:r>
    </w:p>
    <w:p w14:paraId="0FD31E62" w14:textId="77777777" w:rsidR="004557D2" w:rsidRDefault="00787AAF">
      <w:pPr>
        <w:pStyle w:val="Akapitzlist"/>
        <w:widowControl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413CB7" w14:textId="77777777" w:rsidR="004557D2" w:rsidRDefault="00787AAF">
      <w:pPr>
        <w:pStyle w:val="Standard"/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 oferty prosimy załączyć stosowne oświadczenie – zgodnie ze wzorem stanowiącym załącznik </w:t>
      </w:r>
      <w:r>
        <w:rPr>
          <w:rFonts w:cstheme="minorHAnsi"/>
        </w:rPr>
        <w:br/>
        <w:t>nr 2 do niniejszego zapytania ofertowego.</w:t>
      </w:r>
    </w:p>
    <w:p w14:paraId="2EC30B47" w14:textId="77777777" w:rsidR="004557D2" w:rsidRDefault="00787AAF">
      <w:pPr>
        <w:pStyle w:val="Akapitzlist"/>
        <w:numPr>
          <w:ilvl w:val="0"/>
          <w:numId w:val="5"/>
        </w:numPr>
        <w:tabs>
          <w:tab w:val="left" w:pos="66"/>
        </w:tabs>
        <w:spacing w:before="19" w:line="276" w:lineRule="auto"/>
        <w:ind w:right="1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Określenie warunków istotnych zmian umowy zawartej w wyniku przeprowadzonego postępowania o udzielenie zamówienia, o ile przewiduje się możliwość zmiany takiej</w:t>
      </w:r>
      <w:r>
        <w:rPr>
          <w:rFonts w:asciiTheme="minorHAnsi" w:hAnsiTheme="minorHAnsi" w:cstheme="minorHAnsi"/>
          <w:b/>
          <w:spacing w:val="-19"/>
        </w:rPr>
        <w:t xml:space="preserve"> </w:t>
      </w:r>
      <w:r>
        <w:rPr>
          <w:rFonts w:asciiTheme="minorHAnsi" w:hAnsiTheme="minorHAnsi" w:cstheme="minorHAnsi"/>
          <w:b/>
        </w:rPr>
        <w:t>umowy.</w:t>
      </w:r>
    </w:p>
    <w:p w14:paraId="0B94719F" w14:textId="77777777" w:rsidR="004557D2" w:rsidRDefault="00787AAF">
      <w:pPr>
        <w:spacing w:line="276" w:lineRule="auto"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Zamawiający przewiduje możliwość dokonania zmian postanowień zawartej umowy w stosunku do treści oferty, na podstawie której dokonano wyboru Wykonawcy, w następującej w sytuacji, gdy:</w:t>
      </w:r>
    </w:p>
    <w:p w14:paraId="58D79788" w14:textId="77777777" w:rsidR="004557D2" w:rsidRDefault="00787AAF">
      <w:pPr>
        <w:numPr>
          <w:ilvl w:val="0"/>
          <w:numId w:val="9"/>
        </w:numPr>
        <w:spacing w:line="276" w:lineRule="auto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nastąpi zmiana powszechnie obowiązujących przepisów prawa w zakresie mającym wpływ na realizację przedmiotu umowy;</w:t>
      </w:r>
    </w:p>
    <w:p w14:paraId="61DD3424" w14:textId="77777777" w:rsidR="004557D2" w:rsidRDefault="00787AAF">
      <w:pPr>
        <w:numPr>
          <w:ilvl w:val="0"/>
          <w:numId w:val="9"/>
        </w:numPr>
        <w:spacing w:line="276" w:lineRule="auto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wynikną rozbieżności lub niejasności w umowie, których nie można usunąć w inny sposób, a zmiana będzie umożliwiać usunięcie rozbieżności i doprecyzowanie Umowy w celu jednoznacznej interpretacji jej postanowień przez Strony</w:t>
      </w:r>
    </w:p>
    <w:p w14:paraId="7E262CF4" w14:textId="77777777" w:rsidR="004557D2" w:rsidRDefault="00787AAF">
      <w:pPr>
        <w:widowControl/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Dopuszcza się możliwość zmiany postanowień Umowy w zakresie dotyczącym wynagrodzenia w przypadku ustawowej zmiany stawki podatku od towarów i usług (VAT) –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199791B7" w14:textId="77777777" w:rsidR="004557D2" w:rsidRDefault="00787AAF">
      <w:pPr>
        <w:numPr>
          <w:ilvl w:val="0"/>
          <w:numId w:val="9"/>
        </w:numPr>
        <w:spacing w:line="276" w:lineRule="auto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Dopuszcza się możliwość zmiany postanowień Umowy w zakresie terminu wykonania Umowy lub jej części w przypadku konieczności przedłużenia terminu wykonania Umowy lub jej części ze względu na:</w:t>
      </w:r>
    </w:p>
    <w:p w14:paraId="66BDE3BB" w14:textId="77777777" w:rsidR="004557D2" w:rsidRDefault="00787AAF">
      <w:pPr>
        <w:spacing w:line="276" w:lineRule="auto"/>
        <w:ind w:left="360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 xml:space="preserve">- zawarcie Umowy po upływie pierwotnego terminu związania ofertą na skutek przyczyn leżących po stronie Zamawiającego, </w:t>
      </w:r>
    </w:p>
    <w:p w14:paraId="1DD67D5D" w14:textId="77777777" w:rsidR="004557D2" w:rsidRDefault="00787AAF">
      <w:pPr>
        <w:spacing w:line="276" w:lineRule="auto"/>
        <w:ind w:left="360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- inne przyczyny będące następstwem okoliczności, za które odpowiedzialność ponosi Zamawiający,</w:t>
      </w:r>
    </w:p>
    <w:p w14:paraId="48941900" w14:textId="77777777" w:rsidR="004557D2" w:rsidRDefault="00787AAF">
      <w:pPr>
        <w:spacing w:line="276" w:lineRule="auto"/>
        <w:ind w:left="360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- opóźnienie w dokonaniu określonych czynności lub ich zaniechanie przez właściwe organy, które nie wynikają z przyczyn leżących po stronie Wykonawcy np. opóźnienie w wydawaniu decyzji, zezwoleń, uzgodnień, itp., do wydania których właściwe organy są zobowiązane na mocy przepisów prawa, jeżeli opóźnienie przekroczy okres przewidziany w przepisach prawa, w którym ww. decyzje powinny zostać wydane, a nie wynikają z przyczyn leżących po stronie Wykonawcy,</w:t>
      </w:r>
    </w:p>
    <w:p w14:paraId="748FE206" w14:textId="77777777" w:rsidR="004557D2" w:rsidRDefault="00787AAF">
      <w:pPr>
        <w:spacing w:line="276" w:lineRule="auto"/>
        <w:ind w:left="360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 xml:space="preserve">- siłę wyższą, przez którą należy rozumieć zdarzenie zewnętrzne o charakterze niezależnych od obu stron, którego strony nie mogły przewidzieć przed zawarciem Umowy i którego nie można było uniknąć ani któremu strony nie mogły zapobiec przy zachowaniu należytej staranności (np. pożar, </w:t>
      </w:r>
      <w:r>
        <w:rPr>
          <w:rFonts w:asciiTheme="minorHAnsi" w:eastAsia="Tahoma" w:hAnsiTheme="minorHAnsi" w:cstheme="minorHAnsi"/>
          <w:color w:val="00000A"/>
        </w:rPr>
        <w:lastRenderedPageBreak/>
        <w:t>powódź, inne klęski żywiołowe, pandemia, promieniowanie lub skażenie, zamieszki, strajki, ataki terrorystyczne, działania wojenne,</w:t>
      </w:r>
    </w:p>
    <w:p w14:paraId="4EDEF5E4" w14:textId="77777777" w:rsidR="004557D2" w:rsidRDefault="00787AAF">
      <w:pPr>
        <w:widowControl/>
        <w:numPr>
          <w:ilvl w:val="0"/>
          <w:numId w:val="9"/>
        </w:numPr>
        <w:spacing w:line="276" w:lineRule="auto"/>
        <w:contextualSpacing/>
        <w:jc w:val="both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Dopuszcza się możliwość wprowadzenia zmian do Umowy, o których mowa w przepisach powszechnie obowiązującego prawa związanych z pandemią COVID-19, w przypadku zaistnienia okoliczności, o których mowa w tych przepisach.</w:t>
      </w:r>
    </w:p>
    <w:p w14:paraId="5A8C1374" w14:textId="77777777" w:rsidR="004557D2" w:rsidRDefault="00787AAF">
      <w:pPr>
        <w:numPr>
          <w:ilvl w:val="0"/>
          <w:numId w:val="9"/>
        </w:numPr>
        <w:spacing w:line="276" w:lineRule="auto"/>
        <w:contextualSpacing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nastąpi zamiana terminu wykonania przedmiotu zamówienia z powodów niezawinionych przez Wykonawcę, których nie można było wcześniej przewidzieć.</w:t>
      </w:r>
    </w:p>
    <w:p w14:paraId="4AD32AFF" w14:textId="77777777" w:rsidR="004557D2" w:rsidRDefault="004557D2">
      <w:pPr>
        <w:spacing w:line="276" w:lineRule="auto"/>
        <w:ind w:left="709"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</w:p>
    <w:p w14:paraId="22255B05" w14:textId="77777777" w:rsidR="004557D2" w:rsidRDefault="004557D2">
      <w:pPr>
        <w:spacing w:line="276" w:lineRule="auto"/>
        <w:ind w:left="709"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</w:p>
    <w:p w14:paraId="0E219541" w14:textId="77777777" w:rsidR="004557D2" w:rsidRDefault="00787AAF">
      <w:pPr>
        <w:spacing w:line="276" w:lineRule="auto"/>
        <w:jc w:val="both"/>
        <w:textAlignment w:val="baseline"/>
        <w:rPr>
          <w:rFonts w:asciiTheme="minorHAnsi" w:eastAsia="Tahoma" w:hAnsiTheme="minorHAnsi" w:cstheme="minorHAnsi"/>
          <w:color w:val="00000A"/>
        </w:rPr>
      </w:pPr>
      <w:r>
        <w:rPr>
          <w:rFonts w:asciiTheme="minorHAnsi" w:eastAsia="Tahoma" w:hAnsiTheme="minorHAnsi" w:cstheme="minorHAnsi"/>
          <w:color w:val="00000A"/>
        </w:rPr>
        <w:t>Kary umowne:</w:t>
      </w:r>
    </w:p>
    <w:p w14:paraId="39678833" w14:textId="77777777" w:rsidR="004557D2" w:rsidRDefault="00787AAF">
      <w:pPr>
        <w:pStyle w:val="Akapitzlist"/>
        <w:spacing w:before="0" w:line="276" w:lineRule="auto"/>
        <w:ind w:left="426" w:firstLine="0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W przypadku zwłoki Wykonawcy w wykonaniu przedmiotu zamówienia, Wykonawca zapłaci na rzecz Zamawiającego karę umowną w wysokości 0,1% całości wynagrodzenia umownego netto za każdy dzień zwłoki. </w:t>
      </w:r>
    </w:p>
    <w:p w14:paraId="53E0DF19" w14:textId="77777777" w:rsidR="004557D2" w:rsidRDefault="004557D2">
      <w:pPr>
        <w:pStyle w:val="Akapitzlist"/>
        <w:ind w:left="426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4DBA25D" w14:textId="77777777" w:rsidR="004557D2" w:rsidRDefault="004557D2">
      <w:pPr>
        <w:pStyle w:val="Akapitzlist"/>
        <w:ind w:left="426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51AC7C5" w14:textId="77777777" w:rsidR="004557D2" w:rsidRDefault="00787AAF">
      <w:pPr>
        <w:pStyle w:val="Akapitzlist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Osoba do kontaktu w sprawie zapytania ofertowego:</w:t>
      </w:r>
    </w:p>
    <w:p w14:paraId="5F6E98A5" w14:textId="77777777" w:rsidR="004557D2" w:rsidRDefault="00787AAF">
      <w:pPr>
        <w:pStyle w:val="Tekstpodstawowy"/>
        <w:tabs>
          <w:tab w:val="left" w:pos="426"/>
        </w:tabs>
        <w:spacing w:before="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Tomasz Włodyka</w:t>
      </w:r>
    </w:p>
    <w:p w14:paraId="30E2E81B" w14:textId="77777777" w:rsidR="004557D2" w:rsidRDefault="00787AAF">
      <w:pPr>
        <w:pStyle w:val="Tekstpodstawowy"/>
        <w:tabs>
          <w:tab w:val="left" w:pos="426"/>
        </w:tabs>
        <w:spacing w:before="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511 997 680</w:t>
      </w:r>
    </w:p>
    <w:p w14:paraId="0BEF1872" w14:textId="77777777" w:rsidR="004557D2" w:rsidRDefault="00787AAF">
      <w:pPr>
        <w:pStyle w:val="Tekstpodstawowy"/>
        <w:tabs>
          <w:tab w:val="left" w:pos="426"/>
        </w:tabs>
        <w:spacing w:before="4"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adres mailowy: ryba.wlodyka@gmail.com</w:t>
      </w:r>
    </w:p>
    <w:p w14:paraId="6E898F93" w14:textId="77777777" w:rsidR="004557D2" w:rsidRDefault="004557D2">
      <w:pPr>
        <w:pStyle w:val="Tekstpodstawowy"/>
        <w:tabs>
          <w:tab w:val="left" w:pos="426"/>
        </w:tabs>
        <w:spacing w:before="4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55E327" w14:textId="77777777" w:rsidR="004557D2" w:rsidRDefault="00787AAF">
      <w:pPr>
        <w:pStyle w:val="Akapitzlist"/>
        <w:numPr>
          <w:ilvl w:val="0"/>
          <w:numId w:val="5"/>
        </w:numPr>
        <w:tabs>
          <w:tab w:val="left" w:pos="426"/>
          <w:tab w:val="left" w:pos="661"/>
          <w:tab w:val="left" w:pos="663"/>
          <w:tab w:val="left" w:pos="1517"/>
          <w:tab w:val="left" w:pos="2899"/>
          <w:tab w:val="left" w:pos="3539"/>
          <w:tab w:val="left" w:pos="4834"/>
          <w:tab w:val="left" w:pos="6208"/>
          <w:tab w:val="left" w:pos="6683"/>
          <w:tab w:val="left" w:pos="7666"/>
          <w:tab w:val="left" w:pos="8340"/>
          <w:tab w:val="left" w:pos="8688"/>
        </w:tabs>
        <w:spacing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Wykaz dokumentów oraz oświadczeń niezbędnych do złożenia wraz z ofertą</w:t>
      </w:r>
    </w:p>
    <w:p w14:paraId="2FF8269C" w14:textId="77777777" w:rsidR="004557D2" w:rsidRDefault="00787AAF">
      <w:pPr>
        <w:pStyle w:val="Standard"/>
        <w:tabs>
          <w:tab w:val="left" w:pos="426"/>
        </w:tabs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1: Formularz ofertowy;</w:t>
      </w:r>
    </w:p>
    <w:p w14:paraId="5DEE0789" w14:textId="77777777" w:rsidR="004557D2" w:rsidRDefault="00787AAF">
      <w:pPr>
        <w:pStyle w:val="Standard"/>
        <w:tabs>
          <w:tab w:val="left" w:pos="426"/>
        </w:tabs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2: Oświadczenie o braku powiązań</w:t>
      </w:r>
    </w:p>
    <w:sectPr w:rsidR="004557D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A47F" w14:textId="77777777" w:rsidR="00787AAF" w:rsidRDefault="00787AAF">
      <w:r>
        <w:separator/>
      </w:r>
    </w:p>
  </w:endnote>
  <w:endnote w:type="continuationSeparator" w:id="0">
    <w:p w14:paraId="6FCB8526" w14:textId="77777777" w:rsidR="00787AAF" w:rsidRDefault="0078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FCF2" w14:textId="77777777" w:rsidR="00787AAF" w:rsidRDefault="00787AAF">
      <w:r>
        <w:separator/>
      </w:r>
    </w:p>
  </w:footnote>
  <w:footnote w:type="continuationSeparator" w:id="0">
    <w:p w14:paraId="1F92AB86" w14:textId="77777777" w:rsidR="00787AAF" w:rsidRDefault="0078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29B" w14:textId="77777777" w:rsidR="004557D2" w:rsidRDefault="00787AAF">
    <w:pPr>
      <w:pStyle w:val="Nagwek"/>
    </w:pPr>
    <w:r>
      <w:rPr>
        <w:noProof/>
      </w:rPr>
      <w:drawing>
        <wp:inline distT="0" distB="0" distL="0" distR="0" wp14:anchorId="63F9833A" wp14:editId="762C3922">
          <wp:extent cx="1823085" cy="574040"/>
          <wp:effectExtent l="0" t="0" r="0" b="0"/>
          <wp:docPr id="1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98D13A" wp14:editId="169F6BEC">
          <wp:extent cx="1665605" cy="4914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FC0C01" wp14:editId="6C65894F">
          <wp:extent cx="2200275" cy="51435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C1"/>
    <w:multiLevelType w:val="multilevel"/>
    <w:tmpl w:val="380ED3C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DB91F06"/>
    <w:multiLevelType w:val="multilevel"/>
    <w:tmpl w:val="AEEE539C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7483F"/>
    <w:multiLevelType w:val="multilevel"/>
    <w:tmpl w:val="D3608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F64191"/>
    <w:multiLevelType w:val="multilevel"/>
    <w:tmpl w:val="329E223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449E2F45"/>
    <w:multiLevelType w:val="multilevel"/>
    <w:tmpl w:val="4FFCDA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1A73395"/>
    <w:multiLevelType w:val="multilevel"/>
    <w:tmpl w:val="46BAA90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3673C9F"/>
    <w:multiLevelType w:val="multilevel"/>
    <w:tmpl w:val="D340E82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E74A22"/>
    <w:multiLevelType w:val="multilevel"/>
    <w:tmpl w:val="8E52636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77F53EA4"/>
    <w:multiLevelType w:val="multilevel"/>
    <w:tmpl w:val="AA9827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856AB2"/>
    <w:multiLevelType w:val="multilevel"/>
    <w:tmpl w:val="101A3C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Calibri"/>
        <w:i w:val="0"/>
        <w:spacing w:val="-1"/>
        <w:w w:val="99"/>
        <w:sz w:val="22"/>
        <w:szCs w:val="22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1384" w:hanging="360"/>
      </w:pPr>
    </w:lvl>
    <w:lvl w:ilvl="2">
      <w:numFmt w:val="bullet"/>
      <w:lvlText w:val=""/>
      <w:lvlJc w:val="left"/>
      <w:pPr>
        <w:tabs>
          <w:tab w:val="num" w:pos="0"/>
        </w:tabs>
        <w:ind w:left="2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9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77" w:hanging="360"/>
      </w:pPr>
      <w:rPr>
        <w:rFonts w:ascii="Symbol" w:hAnsi="Symbol" w:cs="Symbol" w:hint="default"/>
      </w:rPr>
    </w:lvl>
  </w:abstractNum>
  <w:abstractNum w:abstractNumId="10" w15:restartNumberingAfterBreak="0">
    <w:nsid w:val="7E0A1112"/>
    <w:multiLevelType w:val="multilevel"/>
    <w:tmpl w:val="0E449186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 w16cid:durableId="724138694">
    <w:abstractNumId w:val="9"/>
  </w:num>
  <w:num w:numId="2" w16cid:durableId="353307806">
    <w:abstractNumId w:val="3"/>
  </w:num>
  <w:num w:numId="3" w16cid:durableId="1615791530">
    <w:abstractNumId w:val="1"/>
  </w:num>
  <w:num w:numId="4" w16cid:durableId="1389842350">
    <w:abstractNumId w:val="10"/>
  </w:num>
  <w:num w:numId="5" w16cid:durableId="938483910">
    <w:abstractNumId w:val="7"/>
  </w:num>
  <w:num w:numId="6" w16cid:durableId="1329594800">
    <w:abstractNumId w:val="8"/>
  </w:num>
  <w:num w:numId="7" w16cid:durableId="662439067">
    <w:abstractNumId w:val="0"/>
  </w:num>
  <w:num w:numId="8" w16cid:durableId="1267467604">
    <w:abstractNumId w:val="6"/>
  </w:num>
  <w:num w:numId="9" w16cid:durableId="1662197053">
    <w:abstractNumId w:val="4"/>
  </w:num>
  <w:num w:numId="10" w16cid:durableId="391269866">
    <w:abstractNumId w:val="5"/>
  </w:num>
  <w:num w:numId="11" w16cid:durableId="170922914">
    <w:abstractNumId w:val="2"/>
  </w:num>
  <w:num w:numId="12" w16cid:durableId="154324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D2"/>
    <w:rsid w:val="00017471"/>
    <w:rsid w:val="004557D2"/>
    <w:rsid w:val="00787AAF"/>
    <w:rsid w:val="00DC1A37"/>
    <w:rsid w:val="00EF67BE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37D3"/>
  <w15:docId w15:val="{54430078-1768-4F20-B3A7-80EFEF4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44DEF"/>
    <w:pPr>
      <w:widowControl w:val="0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1"/>
    <w:qFormat/>
    <w:rsid w:val="00044DE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qFormat/>
    <w:rsid w:val="00044DEF"/>
    <w:rPr>
      <w:rFonts w:ascii="Arial" w:eastAsia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44DEF"/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44DE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44DEF"/>
    <w:rPr>
      <w:rFonts w:ascii="Arial" w:eastAsia="Arial" w:hAnsi="Arial" w:cs="Arial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DEF"/>
    <w:rPr>
      <w:rFonts w:ascii="Segoe UI" w:eastAsia="Arial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4DEF"/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4DEF"/>
    <w:rPr>
      <w:rFonts w:ascii="Arial" w:eastAsia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68C4"/>
    <w:rPr>
      <w:rFonts w:ascii="Arial" w:eastAsia="Arial" w:hAnsi="Arial" w:cs="Arial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9569C8"/>
    <w:rPr>
      <w:rFonts w:ascii="Arial" w:eastAsia="Arial" w:hAnsi="Arial" w:cs="Arial"/>
    </w:rPr>
  </w:style>
  <w:style w:type="character" w:customStyle="1" w:styleId="czeinternetowe">
    <w:name w:val="Łącze internetowe"/>
    <w:basedOn w:val="Domylnaczcionkaakapitu"/>
    <w:uiPriority w:val="99"/>
    <w:unhideWhenUsed/>
    <w:rsid w:val="00367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67CC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4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044DEF"/>
    <w:rPr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044DEF"/>
    <w:pPr>
      <w:spacing w:before="4"/>
      <w:ind w:left="498" w:hanging="360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44DEF"/>
    <w:rPr>
      <w:sz w:val="20"/>
      <w:szCs w:val="20"/>
    </w:rPr>
  </w:style>
  <w:style w:type="paragraph" w:customStyle="1" w:styleId="Standard">
    <w:name w:val="Standard"/>
    <w:qFormat/>
    <w:rsid w:val="00044DEF"/>
    <w:pPr>
      <w:spacing w:after="160" w:line="247" w:lineRule="auto"/>
    </w:pPr>
    <w:rPr>
      <w:rFonts w:eastAsia="SimSun" w:cs="Calibri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DEF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4DE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bkolenda</dc:creator>
  <dc:description/>
  <cp:lastModifiedBy>Ewelina Plesińska</cp:lastModifiedBy>
  <cp:revision>7</cp:revision>
  <dcterms:created xsi:type="dcterms:W3CDTF">2023-01-09T10:00:00Z</dcterms:created>
  <dcterms:modified xsi:type="dcterms:W3CDTF">2023-10-11T08:09:00Z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